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фоне экономической и политической стабилизации российского общества постепенно восполняется «пробел» в области трудовой мотивации, который был характерен для состояния экономической и хозяйственной жизни России начала 90-х годов. Приоритетное место в трудовой мотивации в современной России занимает стремление к профессиональному совершенствованию и профессиональному росту.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профессионала, способного к самоопределению и саморазвитию, является одной из важнейших задач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образования</w:t>
      </w:r>
      <w:proofErr w:type="gramStart"/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35F3" w:rsidRPr="008D35F3" w:rsidRDefault="008D35F3" w:rsidP="008D35F3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Н.С. </w:t>
      </w:r>
      <w:proofErr w:type="spellStart"/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психологическими факторами, которые составляют основу профессионального самоопределения, являются: осознание ценности общественно-полезного труда; общая ориентировка социально-экономической ситуации в стране; осознание необходимости общей и проф. подготовки; общая ориентировка в мире профессий; выделение дальней проф. цели и согласование её с другими в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ажными жизненными целями</w:t>
      </w:r>
      <w:proofErr w:type="gramStart"/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же понятие «профессиональное самоопределение» включает в себя: осознание человеком уровня развития своих профессиональных способностей, структуры профессиональных мотивов знаний и навыков; осознание соответствия их тем требованиям, которые деятельность предъявляет к человеку; переживание этого соответствия как чувства удовлетворенно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выбранной профессией</w:t>
      </w:r>
      <w:proofErr w:type="gramStart"/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35F3" w:rsidRPr="008D35F3" w:rsidRDefault="008D35F3" w:rsidP="008D35F3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профессиональным самоопределением дошкольников понимают некий сознательный выбор ребенком интересующей его сферы деятельности на основе активного участия в сюжетно-ролевых играх. В основе понятия «профессиональное самоопределение» детей дошкольного возраста лежит безусловное понимание ими общественного значения труда вообще и профессионального труда в частности, которое достигается путем длительной и сложной работы и является, своего рода, пред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этапом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выбора</w:t>
      </w:r>
      <w:proofErr w:type="gramStart"/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(детская) профориентация проводится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ранней профориентации – сформировать у ребенка эмоциональное отношение к профессиональному миру, ему должна быть предоставлена возможность использовать свои силы в доступных видах деятельности. Именно поэтому очень важно создать максимально разнообразную палитру впечатлений о мире профессий, чтобы затем, на основе этого материала, ребенок мог анализировать профессиональную сферу более осмысленно и чувствовать себя более уверенно. Профориентация в дошкольном образовании подразумевает создание предметно-развивающей среды дошкольного образовательного учреждения, которая способствует становлению субъектной позиции ребенка в образовательной и социальной среде на основе «</w:t>
      </w:r>
      <w:proofErr w:type="gramStart"/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концепции».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региональной инновационной площадки «Разработка и апробация региональной модели научно-методического, организационно-педагогического сопровождения муниципальных систем профессионального самоопределения детей и молодежи» в МДОУ «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№38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города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проект по теме «Создание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психолого-педагогических условий развития ранних представлений о мире профессий у детей дошкольного возраста».   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результатов анализа созданных в ДОУ психолого-педагогических условий составлен комплексный план мероприятий по совершенствованию профориентационной работы с дошкольниками с учетом современных условий рынка труда и перспектив социально-экономического развития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8D35F3" w:rsidRPr="008D35F3" w:rsidRDefault="008D35F3" w:rsidP="008D35F3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стартовой диагностики позволяют сделать вывод о том, что педагоги используют разнообразные методы и приемы для ознакомления дошкольников с миром профессий, однако работа эта осуществляется не систематично, нет комплексного подхода. Воспитателям сложно организовать образовательный процесс профессиональной направленности, так как недостаточно знаний о трудовых процессах современных профессий, мало методических разработок и демонстрационного материала по знакомству дошкольников с профессиями промышленных предприятий, требования безопасности по перевозке детей затрудняют проведение экскурсий на предприятиях города.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профессионального уровня педагогов в вопросах профориентации дошкольников организована работа семинара «Школа современных профессий». Целостное восприятие профессии у ребенка сформируется через последовательное ознакомление с компонентами трудового процесса, поэтому на занятиях семинара педагоги учились составлять конспекты занятий, разрабатывали дидактические игры, модели, учитывая последовательность компонентов: название профессии, место работы, цель, спецодежда, орудия труда, трудовые действия, результат труда, значение в жизни общества. Таким образом, систематизируется практический материал по ознакомлению дошкольников с разнообразным миром профессий, формируется «Банк профессий промышленных предприятий города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Ярославля»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представлено описание профессий, иллюстративный материал, предметно-схематические модели трудового процесса, образец рассказа для детей, художественное слово, загадки, варианты дидактических игр. Разработано электронное приложение, включающее слайдовые презентации, виртуальные экскурсии на предприятия, видеоролики, фильмы, интерактивные дидактические игры. </w:t>
      </w:r>
      <w:proofErr w:type="gramStart"/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презентовали методический материал по профессиям: токарь, сварщик, слесарь-ремонтник, водитель автопогрузчика, слесарь по контрольно-измерительным приборам и автоматике, машинист мостового крана, энергетик, стропальщик, варщик целлюлозы, электромонтер, лаборант, литейщик.</w:t>
      </w:r>
      <w:proofErr w:type="gramEnd"/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развивающей игровой среды профессиональной направленности в организован конкурс «Лучшая дидактическая игра по теме «Мир современных профессий». Основными критериями оценки были: содержательность, полнота информации о профессии, авторские идеи, творчество. В представленных на конкурс дидактических играх педагоги отразили региональный компонент (профессии города </w:t>
      </w:r>
      <w:r w:rsidR="008F20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современные профессии (флорист, художник-дизайнер). Однако большинство дидактических игр отражали стандартные профессии (врач, повар, учитель), по которым уже существует огромное количество методических разработок. Следовательно, в перспективе необходима модернизация дидактического и игрового оборудования с учетом современной тематики.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активного включения родителей воспитанников в данный процесс педагогический коллектив использует разнообразные формы. На выставке «Все профессии важны» родители через фотоколлажи, предметно-схематичные модели 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 представили свои профессии. В День открытых дверей родители вместе с детьми участвовали в викторинах, играли, презентовали свои профессии.</w:t>
      </w:r>
    </w:p>
    <w:p w:rsidR="008D35F3" w:rsidRPr="008D35F3" w:rsidRDefault="008D35F3" w:rsidP="008D35F3">
      <w:pPr>
        <w:spacing w:after="0" w:line="24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профессиональная ориентация в дошкольном возрасте заключается в комплексе психолого-педагогических средств, методов воздействия на личность с учетом возрастных особенностей психологического развития ребенка, направленных на зарождение профессионально ориентированных интересов и склонностей у детей под влиянием родственников, воспитателей, сюжетно-ролевых игр и разных видов детской деятельности. На сегодняшний момент достигнуты определенные результаты, выделены трудности и опреде</w:t>
      </w:r>
      <w:r w:rsidR="00C01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перспективы работы. Считаю</w:t>
      </w:r>
      <w:r w:rsidRPr="008D3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только комплексный подход к созданию психолого-педагогических условий обеспечит развитие ранних представлений о мире профессий у дошкольников.</w:t>
      </w:r>
    </w:p>
    <w:p w:rsidR="00991394" w:rsidRDefault="00991394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>
      <w:pPr>
        <w:rPr>
          <w:rFonts w:ascii="Times New Roman" w:hAnsi="Times New Roman" w:cs="Times New Roman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дошкольное образовательное учреждение «Детский сад №38»</w:t>
      </w: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F202B" w:rsidRPr="00042B7C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42B7C">
        <w:rPr>
          <w:rFonts w:ascii="Times New Roman" w:hAnsi="Times New Roman" w:cs="Times New Roman"/>
          <w:color w:val="000000" w:themeColor="text1"/>
          <w:sz w:val="36"/>
          <w:szCs w:val="36"/>
        </w:rPr>
        <w:t>Консультация для родителей</w:t>
      </w:r>
    </w:p>
    <w:p w:rsidR="008F202B" w:rsidRPr="00042B7C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Педагогические условия </w:t>
      </w: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ранней    профориентации </w:t>
      </w: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у  детей</w:t>
      </w:r>
    </w:p>
    <w:p w:rsidR="008F202B" w:rsidRP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дошкольного  возраста</w:t>
      </w:r>
    </w:p>
    <w:p w:rsidR="008F202B" w:rsidRPr="00042B7C" w:rsidRDefault="008F202B" w:rsidP="008F202B">
      <w:pPr>
        <w:shd w:val="clear" w:color="auto" w:fill="FFFFFF" w:themeFill="background1"/>
        <w:spacing w:line="240" w:lineRule="auto"/>
        <w:jc w:val="center"/>
        <w:rPr>
          <w:rFonts w:ascii="Aharoni" w:hAnsi="Aharoni" w:cs="Aharoni"/>
          <w:b/>
          <w:color w:val="000000" w:themeColor="text1"/>
          <w:sz w:val="48"/>
          <w:szCs w:val="4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Default="008F202B" w:rsidP="008F202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02B" w:rsidRPr="00042B7C" w:rsidRDefault="008F202B" w:rsidP="008F202B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 и  провела:  воспитатель Ганичева Т.А.</w:t>
      </w:r>
    </w:p>
    <w:p w:rsidR="008F202B" w:rsidRPr="008D35F3" w:rsidRDefault="008F202B">
      <w:pPr>
        <w:rPr>
          <w:rFonts w:ascii="Times New Roman" w:hAnsi="Times New Roman" w:cs="Times New Roman"/>
          <w:sz w:val="28"/>
          <w:szCs w:val="28"/>
        </w:rPr>
      </w:pPr>
    </w:p>
    <w:sectPr w:rsidR="008F202B" w:rsidRPr="008D35F3" w:rsidSect="008D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5F3"/>
    <w:rsid w:val="008675FA"/>
    <w:rsid w:val="008D35F3"/>
    <w:rsid w:val="008F202B"/>
    <w:rsid w:val="00991394"/>
    <w:rsid w:val="00C0199B"/>
    <w:rsid w:val="00E3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ганичев</dc:creator>
  <cp:keywords/>
  <dc:description/>
  <cp:lastModifiedBy>сергей ганичев</cp:lastModifiedBy>
  <cp:revision>4</cp:revision>
  <dcterms:created xsi:type="dcterms:W3CDTF">2016-10-29T18:56:00Z</dcterms:created>
  <dcterms:modified xsi:type="dcterms:W3CDTF">2016-10-31T16:08:00Z</dcterms:modified>
</cp:coreProperties>
</file>